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ygtyrnd07x7o"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10"/>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10"/>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10"/>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10"/>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sz w:val="24"/>
                <w:szCs w:val="24"/>
                <w:rtl w:val="0"/>
              </w:rPr>
              <w:t xml:space="preserve">  Accounting Reference Date</w:t>
            </w:r>
            <w:r w:rsidDel="00000000" w:rsidR="00000000" w:rsidRPr="00000000">
              <w:rPr>
                <w:rtl w:val="0"/>
              </w:rPr>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oq14vfpkmahx"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9"/>
              </w:numPr>
              <w:tabs>
                <w:tab w:val="left" w:leader="none" w:pos="-179"/>
                <w:tab w:val="left" w:leader="none" w:pos="-9"/>
              </w:tabs>
              <w:spacing w:after="120" w:lineRule="auto"/>
              <w:ind w:left="432" w:hanging="26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Relevant Authority is a Buyer, and the value of the relevant Call-Off Contract is greater than £3million, verify the Open Book Data;</w:t>
            </w:r>
          </w:p>
          <w:p w:rsidR="00000000" w:rsidDel="00000000" w:rsidP="00000000" w:rsidRDefault="00000000" w:rsidRPr="00000000" w14:paraId="0000002E">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w:t>
            </w:r>
            <w:r w:rsidDel="00000000" w:rsidR="00000000" w:rsidRPr="00000000">
              <w:rPr>
                <w:rFonts w:ascii="Arial" w:cs="Arial" w:eastAsia="Arial" w:hAnsi="Arial"/>
                <w:sz w:val="24"/>
                <w:szCs w:val="24"/>
                <w:rtl w:val="0"/>
              </w:rPr>
              <w:t xml:space="preserve">mp</w:t>
            </w:r>
            <w:r w:rsidDel="00000000" w:rsidR="00000000" w:rsidRPr="00000000">
              <w:rPr>
                <w:rFonts w:ascii="Arial" w:cs="Arial" w:eastAsia="Arial" w:hAnsi="Arial"/>
                <w:color w:val="000000"/>
                <w:sz w:val="24"/>
                <w:szCs w:val="24"/>
                <w:rtl w:val="0"/>
              </w:rPr>
              <w:t xml:space="preserve">troller and Auditor General;</w:t>
            </w:r>
          </w:p>
          <w:p w:rsidR="00000000" w:rsidDel="00000000" w:rsidP="00000000" w:rsidRDefault="00000000" w:rsidRPr="00000000" w14:paraId="00000032">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25"/>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means:</w:t>
            </w:r>
          </w:p>
          <w:p w:rsidR="00000000" w:rsidDel="00000000" w:rsidP="00000000" w:rsidRDefault="00000000" w:rsidRPr="00000000" w14:paraId="00000038">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9">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A">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w:t>
            </w:r>
            <w:r w:rsidDel="00000000" w:rsidR="00000000" w:rsidRPr="00000000">
              <w:rPr>
                <w:rFonts w:ascii="Arial" w:cs="Arial" w:eastAsia="Arial" w:hAnsi="Arial"/>
                <w:sz w:val="24"/>
                <w:szCs w:val="24"/>
                <w:rtl w:val="0"/>
              </w:rPr>
              <w:t xml:space="preserve">omp</w:t>
            </w:r>
            <w:r w:rsidDel="00000000" w:rsidR="00000000" w:rsidRPr="00000000">
              <w:rPr>
                <w:rFonts w:ascii="Arial" w:cs="Arial" w:eastAsia="Arial" w:hAnsi="Arial"/>
                <w:color w:val="000000"/>
                <w:sz w:val="24"/>
                <w:szCs w:val="24"/>
                <w:rtl w:val="0"/>
              </w:rPr>
              <w:t xml:space="preserve">troller and Auditor General, their staff and/or any appointed representatives of the National Audit Office;</w:t>
            </w:r>
          </w:p>
          <w:p w:rsidR="00000000" w:rsidDel="00000000" w:rsidP="00000000" w:rsidRDefault="00000000" w:rsidRPr="00000000" w14:paraId="0000003B">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C">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D">
            <w:pPr>
              <w:numPr>
                <w:ilvl w:val="0"/>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E">
            <w:pP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Buyer System</w:t>
            </w:r>
          </w:p>
        </w:tc>
        <w:tc>
          <w:tcPr/>
          <w:p w:rsidR="00000000" w:rsidDel="00000000" w:rsidP="00000000" w:rsidRDefault="00000000" w:rsidRPr="00000000" w14:paraId="0000004F">
            <w:pP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has the meaning given to it in Schedule 6 (ICT Services);</w:t>
            </w:r>
            <w:r w:rsidDel="00000000" w:rsidR="00000000" w:rsidRPr="00000000">
              <w:rPr>
                <w:rtl w:val="0"/>
              </w:rPr>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Call Off Optional Extension Period</w:t>
            </w: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such period or periods beyond which the Call-Off Initial Period may be extended up to a maximum of the number of years in total specified in the Order Form</w:t>
            </w:r>
            <w:r w:rsidDel="00000000" w:rsidR="00000000" w:rsidRPr="00000000">
              <w:rPr>
                <w:rtl w:val="0"/>
              </w:rPr>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Catalogue</w:t>
            </w:r>
            <w:r w:rsidDel="00000000" w:rsidR="00000000" w:rsidRPr="00000000">
              <w:rPr>
                <w:rtl w:val="0"/>
              </w:rPr>
            </w:r>
          </w:p>
        </w:tc>
        <w:tc>
          <w:tcPr/>
          <w:p w:rsidR="00000000" w:rsidDel="00000000" w:rsidP="00000000" w:rsidRDefault="00000000" w:rsidRPr="00000000" w14:paraId="00000065">
            <w:pPr>
              <w:tabs>
                <w:tab w:val="left" w:leader="none" w:pos="-179"/>
                <w:tab w:val="left" w:leader="none" w:pos="-9"/>
              </w:tabs>
              <w:spacing w:after="120" w:line="276"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Supplier’s catalogue of Deliverables available to Buyers to order without Further Competition;</w:t>
            </w: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Catalogue Publication Portal</w:t>
            </w:r>
          </w:p>
        </w:tc>
        <w:tc>
          <w:tcPr/>
          <w:p w:rsidR="00000000" w:rsidDel="00000000" w:rsidP="00000000" w:rsidRDefault="00000000" w:rsidRPr="00000000" w14:paraId="00000067">
            <w:pPr>
              <w:tabs>
                <w:tab w:val="left" w:leader="none" w:pos="-179"/>
                <w:tab w:val="left" w:leader="none" w:pos="-9"/>
              </w:tabs>
              <w:spacing w:after="120" w:line="276"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the CCS online publication channel via which Buyers can view the Catalogue;</w:t>
            </w:r>
            <w:r w:rsidDel="00000000" w:rsidR="00000000" w:rsidRPr="00000000">
              <w:rPr>
                <w:rtl w:val="0"/>
              </w:rPr>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E">
            <w:pPr>
              <w:numPr>
                <w:ilvl w:val="0"/>
                <w:numId w:val="29"/>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F">
            <w:pPr>
              <w:numPr>
                <w:ilvl w:val="0"/>
                <w:numId w:val="29"/>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70">
            <w:pPr>
              <w:numPr>
                <w:ilvl w:val="0"/>
                <w:numId w:val="29"/>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71">
            <w:pPr>
              <w:numPr>
                <w:ilvl w:val="0"/>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8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Core Network</w:t>
            </w:r>
            <w:r w:rsidDel="00000000" w:rsidR="00000000" w:rsidRPr="00000000">
              <w:rPr>
                <w:rtl w:val="0"/>
              </w:rPr>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r w:rsidDel="00000000" w:rsidR="00000000" w:rsidRPr="00000000">
              <w:rPr>
                <w:rtl w:val="0"/>
              </w:rPr>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9">
            <w:pPr>
              <w:numPr>
                <w:ilvl w:val="0"/>
                <w:numId w:val="8"/>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A">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B">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C">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D">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E">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F">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A0">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A1">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A2">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 </w:t>
            </w: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 </w:t>
            </w: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w:t>
            </w:r>
            <w:r w:rsidDel="00000000" w:rsidR="00000000" w:rsidRPr="00000000">
              <w:rPr>
                <w:rFonts w:ascii="Arial" w:cs="Arial" w:eastAsia="Arial" w:hAnsi="Arial"/>
                <w:color w:val="000000"/>
                <w:sz w:val="24"/>
                <w:szCs w:val="24"/>
                <w:rtl w:val="0"/>
              </w:rPr>
              <w:t xml:space="preserve">Overhead;</w:t>
            </w: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w:t>
            </w:r>
            <w:r w:rsidDel="00000000" w:rsidR="00000000" w:rsidRPr="00000000">
              <w:rPr>
                <w:rFonts w:ascii="Arial" w:cs="Arial" w:eastAsia="Arial" w:hAnsi="Arial"/>
                <w:color w:val="000000"/>
                <w:sz w:val="24"/>
                <w:szCs w:val="24"/>
                <w:rtl w:val="0"/>
              </w:rPr>
              <w:t xml:space="preserve">financing or similar costs;</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w:t>
            </w: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w:t>
            </w:r>
            <w:r w:rsidDel="00000000" w:rsidR="00000000" w:rsidRPr="00000000">
              <w:rPr>
                <w:rFonts w:ascii="Arial" w:cs="Arial" w:eastAsia="Arial" w:hAnsi="Arial"/>
                <w:color w:val="000000"/>
                <w:sz w:val="24"/>
                <w:szCs w:val="24"/>
                <w:rtl w:val="0"/>
              </w:rPr>
              <w:t xml:space="preserve">taxation;</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w:t>
            </w:r>
            <w:r w:rsidDel="00000000" w:rsidR="00000000" w:rsidRPr="00000000">
              <w:rPr>
                <w:rFonts w:ascii="Arial" w:cs="Arial" w:eastAsia="Arial" w:hAnsi="Arial"/>
                <w:color w:val="000000"/>
                <w:sz w:val="24"/>
                <w:szCs w:val="24"/>
                <w:rtl w:val="0"/>
              </w:rPr>
              <w:t xml:space="preserve">fines and penalties;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w:t>
            </w: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5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vii) </w:t>
            </w: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the DPA 2018 to the extent that it relates to Processing of Personal Data and privacy; </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all applicable Law about the Processing of Personal Data and privacy;</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Direct Award Criteria</w:t>
            </w:r>
            <w:r w:rsidDel="00000000" w:rsidR="00000000" w:rsidRPr="00000000">
              <w:rPr>
                <w:rtl w:val="0"/>
              </w:rPr>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award criteria to be applied for the direct award of CallOff Contracts for Services set out in Framework Schedule 7 (Call-Off Award Procedure);</w:t>
            </w:r>
            <w:r w:rsidDel="00000000" w:rsidR="00000000" w:rsidRPr="00000000">
              <w:rPr>
                <w:rtl w:val="0"/>
              </w:rPr>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81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410"/>
        <w:tblGridChange w:id="0">
          <w:tblGrid>
            <w:gridCol w:w="2400"/>
            <w:gridCol w:w="741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0F8">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0F9">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A">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0FB">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0FC">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0FD">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E">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0FF">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00">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01">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02">
            <w:pPr>
              <w:numPr>
                <w:ilvl w:val="1"/>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810.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90"/>
        <w:gridCol w:w="7320"/>
        <w:tblGridChange w:id="0">
          <w:tblGrid>
            <w:gridCol w:w="2490"/>
            <w:gridCol w:w="7320"/>
          </w:tblGrid>
        </w:tblGridChange>
      </w:tblGrid>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Financial Reports</w:t>
            </w:r>
            <w:r w:rsidDel="00000000" w:rsidR="00000000" w:rsidRPr="00000000">
              <w:rPr>
                <w:rtl w:val="0"/>
              </w:rPr>
            </w:r>
          </w:p>
        </w:tc>
        <w:tc>
          <w:tcPr/>
          <w:p w:rsidR="00000000" w:rsidDel="00000000" w:rsidP="00000000" w:rsidRDefault="00000000" w:rsidRPr="00000000" w14:paraId="00000111">
            <w:pPr>
              <w:tabs>
                <w:tab w:val="left" w:leader="none" w:pos="-179"/>
                <w:tab w:val="left" w:leader="none" w:pos="-9"/>
              </w:tabs>
              <w:spacing w:after="120" w:line="276"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w:t>
            </w:r>
          </w:p>
          <w:p w:rsidR="00000000" w:rsidDel="00000000" w:rsidP="00000000" w:rsidRDefault="00000000" w:rsidRPr="00000000" w14:paraId="00000112">
            <w:pPr>
              <w:tabs>
                <w:tab w:val="left" w:leader="none" w:pos="-179"/>
                <w:tab w:val="left" w:leader="none"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Supplier Profit Margin forecast by the Supplier;</w:t>
            </w:r>
          </w:p>
          <w:p w:rsidR="00000000" w:rsidDel="00000000" w:rsidP="00000000" w:rsidRDefault="00000000" w:rsidRPr="00000000" w14:paraId="00000113">
            <w:pPr>
              <w:tabs>
                <w:tab w:val="left" w:leader="none" w:pos="-179"/>
                <w:tab w:val="left" w:leader="none"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14">
            <w:pPr>
              <w:tabs>
                <w:tab w:val="left" w:leader="none" w:pos="-179"/>
                <w:tab w:val="left" w:leader="none" w:pos="-9"/>
              </w:tabs>
              <w:spacing w:after="120" w:line="276"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w:t>
            </w:r>
            <w:r w:rsidDel="00000000" w:rsidR="00000000" w:rsidRPr="00000000">
              <w:rPr>
                <w:rFonts w:ascii="Arial" w:cs="Arial" w:eastAsia="Arial" w:hAnsi="Arial"/>
                <w:sz w:val="24"/>
                <w:szCs w:val="24"/>
                <w:rtl w:val="0"/>
              </w:rPr>
              <w:t xml:space="preserve">as amended from time to time </w:t>
            </w:r>
            <w:r w:rsidDel="00000000" w:rsidR="00000000" w:rsidRPr="00000000">
              <w:rPr>
                <w:rFonts w:ascii="Arial" w:cs="Arial" w:eastAsia="Arial" w:hAnsi="Arial"/>
                <w:color w:val="000000"/>
                <w:sz w:val="24"/>
                <w:szCs w:val="24"/>
                <w:rtl w:val="0"/>
              </w:rPr>
              <w:t xml:space="preserve">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A">
            <w:pPr>
              <w:numPr>
                <w:ilvl w:val="0"/>
                <w:numId w:val="28"/>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B">
            <w:pPr>
              <w:numPr>
                <w:ilvl w:val="0"/>
                <w:numId w:val="28"/>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C">
            <w:pPr>
              <w:numPr>
                <w:ilvl w:val="0"/>
                <w:numId w:val="28"/>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D">
            <w:pPr>
              <w:numPr>
                <w:ilvl w:val="0"/>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Framework Initial Period</w:t>
            </w:r>
            <w:r w:rsidDel="00000000" w:rsidR="00000000" w:rsidRPr="00000000">
              <w:rPr>
                <w:rtl w:val="0"/>
              </w:rPr>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initial term of the Framework Contract as specified in the Framework Award Form;</w:t>
            </w:r>
            <w:r w:rsidDel="00000000" w:rsidR="00000000" w:rsidRPr="00000000">
              <w:rPr>
                <w:rtl w:val="0"/>
              </w:rPr>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C">
            <w:pPr>
              <w:numPr>
                <w:ilvl w:val="0"/>
                <w:numId w:val="21"/>
              </w:numPr>
              <w:pBdr>
                <w:top w:space="0" w:sz="0" w:val="nil"/>
                <w:left w:space="0" w:sz="0" w:val="nil"/>
                <w:bottom w:space="0" w:sz="0" w:val="nil"/>
                <w:right w:space="0" w:sz="0" w:val="nil"/>
                <w:between w:space="0" w:sz="0" w:val="nil"/>
              </w:pBdr>
              <w:tabs>
                <w:tab w:val="left" w:leader="none" w:pos="-576"/>
                <w:tab w:val="left" w:leader="none" w:pos="144"/>
              </w:tabs>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w:t>
            </w:r>
            <w:r w:rsidDel="00000000" w:rsidR="00000000" w:rsidRPr="00000000">
              <w:rPr>
                <w:rFonts w:ascii="Arial" w:cs="Arial" w:eastAsia="Arial" w:hAnsi="Arial"/>
                <w:sz w:val="24"/>
                <w:szCs w:val="24"/>
                <w:rtl w:val="0"/>
              </w:rPr>
              <w:t xml:space="preserve">; and</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3D">
            <w:pPr>
              <w:numPr>
                <w:ilvl w:val="0"/>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Gold Contract</w:t>
            </w:r>
            <w:r w:rsidDel="00000000" w:rsidR="00000000" w:rsidRPr="00000000">
              <w:rPr>
                <w:rtl w:val="0"/>
              </w:rPr>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r w:rsidDel="00000000" w:rsidR="00000000" w:rsidRPr="00000000">
              <w:rPr>
                <w:rtl w:val="0"/>
              </w:rPr>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A">
            <w:pPr>
              <w:numPr>
                <w:ilvl w:val="2"/>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4B">
            <w:pPr>
              <w:numPr>
                <w:ilvl w:val="2"/>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4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HM Government</w:t>
            </w:r>
            <w:r w:rsidDel="00000000" w:rsidR="00000000" w:rsidRPr="00000000">
              <w:rPr>
                <w:rtl w:val="0"/>
              </w:rPr>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Her Majesty's Government;</w:t>
            </w:r>
            <w:r w:rsidDel="00000000" w:rsidR="00000000" w:rsidRPr="00000000">
              <w:rPr>
                <w:rtl w:val="0"/>
              </w:rPr>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Health and Social Care Network or HCSN</w:t>
            </w:r>
            <w:r w:rsidDel="00000000" w:rsidR="00000000" w:rsidRPr="00000000">
              <w:rPr>
                <w:rtl w:val="0"/>
              </w:rPr>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government’s network for health and social care, which helps all organisations involved in health and social care delivery to work together and interoperate; and as described at https://digital.nhs.uk/services/health-and-social-care-network;</w:t>
            </w:r>
            <w:r w:rsidDel="00000000" w:rsidR="00000000" w:rsidRPr="00000000">
              <w:rPr>
                <w:rtl w:val="0"/>
              </w:rPr>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ICT Environment</w:t>
            </w:r>
            <w:r w:rsidDel="00000000" w:rsidR="00000000" w:rsidRPr="00000000">
              <w:rPr>
                <w:rtl w:val="0"/>
              </w:rPr>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ICT systems related to a Call-Off Contract described in Call-Off Schedule 6 (ICT Services);</w:t>
            </w:r>
            <w:r w:rsidDel="00000000" w:rsidR="00000000" w:rsidRPr="00000000">
              <w:rPr>
                <w:rtl w:val="0"/>
              </w:rPr>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ICT Services</w:t>
            </w:r>
            <w:r w:rsidDel="00000000" w:rsidR="00000000" w:rsidRPr="00000000">
              <w:rPr>
                <w:rtl w:val="0"/>
              </w:rPr>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ICT related Services to be delivered under a Call-Off Contract described in Call-Off Schedule 6 (ICT Services);</w:t>
            </w:r>
            <w:r w:rsidDel="00000000" w:rsidR="00000000" w:rsidRPr="00000000">
              <w:rPr>
                <w:rtl w:val="0"/>
              </w:rPr>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5E">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5F">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60">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61">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62">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8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83">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84">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85">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ISO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D">
            <w:pPr>
              <w:tabs>
                <w:tab w:val="left" w:leader="none" w:pos="-179"/>
                <w:tab w:val="left" w:leader="none" w:pos="-9"/>
              </w:tabs>
              <w:spacing w:after="120" w:line="276"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Organization for Standardization;</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98">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99">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9A">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9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AC">
            <w:pPr>
              <w:numPr>
                <w:ilvl w:val="1"/>
                <w:numId w:val="23"/>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AD">
            <w:pPr>
              <w:numPr>
                <w:ilvl w:val="1"/>
                <w:numId w:val="23"/>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AE">
            <w:pPr>
              <w:numPr>
                <w:ilvl w:val="1"/>
                <w:numId w:val="23"/>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BB">
            <w:pPr>
              <w:tabs>
                <w:tab w:val="left" w:leader="none" w:pos="1985"/>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Nationally Critical Public Sector Domains</w:t>
            </w:r>
            <w:r w:rsidDel="00000000" w:rsidR="00000000" w:rsidRPr="00000000">
              <w:rPr>
                <w:rtl w:val="0"/>
              </w:rPr>
            </w:r>
          </w:p>
        </w:tc>
        <w:tc>
          <w:tcPr/>
          <w:p w:rsidR="00000000" w:rsidDel="00000000" w:rsidP="00000000" w:rsidRDefault="00000000" w:rsidRPr="00000000" w14:paraId="000001BC">
            <w:pPr>
              <w:tabs>
                <w:tab w:val="left" w:leader="none" w:pos="1985"/>
              </w:tabs>
              <w:spacing w:after="120" w:before="120" w:lineRule="auto"/>
              <w:ind w:left="20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domains where loss of access or an outage (for any reason) would cause immediate and extended outages of public-facing digital services, disrupting citizens’ access to the services they depend on including benefits, and loss and disruption of all Government internal communications, including public servants accessing their own internal IT.</w:t>
            </w:r>
          </w:p>
          <w:p w:rsidR="00000000" w:rsidDel="00000000" w:rsidP="00000000" w:rsidRDefault="00000000" w:rsidRPr="00000000" w14:paraId="000001BD">
            <w:pPr>
              <w:tabs>
                <w:tab w:val="left" w:leader="none" w:pos="1985"/>
              </w:tabs>
              <w:spacing w:after="120" w:before="120" w:lineRule="auto"/>
              <w:ind w:left="20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There are a number of nationally critical domains within the UK, including but not limited to .</w:t>
            </w:r>
            <w:hyperlink r:id="rId8">
              <w:r w:rsidDel="00000000" w:rsidR="00000000" w:rsidRPr="00000000">
                <w:rPr>
                  <w:rFonts w:ascii="Arial" w:cs="Arial" w:eastAsia="Arial" w:hAnsi="Arial"/>
                  <w:sz w:val="24"/>
                  <w:szCs w:val="24"/>
                  <w:rtl w:val="0"/>
                </w:rPr>
                <w:t xml:space="preserve">gov.uk</w:t>
              </w:r>
            </w:hyperlink>
            <w:r w:rsidDel="00000000" w:rsidR="00000000" w:rsidRPr="00000000">
              <w:rPr>
                <w:rFonts w:ascii="Arial" w:cs="Arial" w:eastAsia="Arial" w:hAnsi="Arial"/>
                <w:sz w:val="24"/>
                <w:szCs w:val="24"/>
                <w:rtl w:val="0"/>
              </w:rPr>
              <w:t xml:space="preserve">, .</w:t>
            </w:r>
            <w:hyperlink r:id="rId9">
              <w:r w:rsidDel="00000000" w:rsidR="00000000" w:rsidRPr="00000000">
                <w:rPr>
                  <w:rFonts w:ascii="Arial" w:cs="Arial" w:eastAsia="Arial" w:hAnsi="Arial"/>
                  <w:sz w:val="24"/>
                  <w:szCs w:val="24"/>
                  <w:rtl w:val="0"/>
                </w:rPr>
                <w:t xml:space="preserve">nhs.uk</w:t>
              </w:r>
            </w:hyperlink>
            <w:r w:rsidDel="00000000" w:rsidR="00000000" w:rsidRPr="00000000">
              <w:rPr>
                <w:rFonts w:ascii="Arial" w:cs="Arial" w:eastAsia="Arial" w:hAnsi="Arial"/>
                <w:sz w:val="24"/>
                <w:szCs w:val="24"/>
                <w:rtl w:val="0"/>
              </w:rPr>
              <w:t xml:space="preserve">, gov.scot, gov.wales, .</w:t>
            </w:r>
            <w:hyperlink r:id="rId10">
              <w:r w:rsidDel="00000000" w:rsidR="00000000" w:rsidRPr="00000000">
                <w:rPr>
                  <w:rFonts w:ascii="Arial" w:cs="Arial" w:eastAsia="Arial" w:hAnsi="Arial"/>
                  <w:sz w:val="24"/>
                  <w:szCs w:val="24"/>
                  <w:rtl w:val="0"/>
                </w:rPr>
                <w:t xml:space="preserve">police.uk</w:t>
              </w:r>
            </w:hyperlink>
            <w:r w:rsidDel="00000000" w:rsidR="00000000" w:rsidRPr="00000000">
              <w:rPr>
                <w:rFonts w:ascii="Arial" w:cs="Arial" w:eastAsia="Arial" w:hAnsi="Arial"/>
                <w:sz w:val="24"/>
                <w:szCs w:val="24"/>
                <w:rtl w:val="0"/>
              </w:rPr>
              <w:t xml:space="preserve"> and .</w:t>
            </w:r>
            <w:hyperlink r:id="rId11">
              <w:r w:rsidDel="00000000" w:rsidR="00000000" w:rsidRPr="00000000">
                <w:rPr>
                  <w:rFonts w:ascii="Arial" w:cs="Arial" w:eastAsia="Arial" w:hAnsi="Arial"/>
                  <w:sz w:val="24"/>
                  <w:szCs w:val="24"/>
                  <w:rtl w:val="0"/>
                </w:rPr>
                <w:t xml:space="preserve">mod.uk</w:t>
              </w:r>
            </w:hyperlink>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BF">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C0">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C4">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C5">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C6">
            <w:pPr>
              <w:numPr>
                <w:ilvl w:val="2"/>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C7">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CA">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CB">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CC">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CD">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CE">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CF">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D0">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D1">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D2">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D3">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D4">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D5">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D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E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2">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Primary Services</w:t>
            </w:r>
            <w:r w:rsidDel="00000000" w:rsidR="00000000" w:rsidRPr="00000000">
              <w:rPr>
                <w:rtl w:val="0"/>
              </w:rPr>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components described in paragraph 1.2.2 of Part A of Framework Schedule 1 (Specification);</w:t>
            </w:r>
            <w:r w:rsidDel="00000000" w:rsidR="00000000" w:rsidRPr="00000000">
              <w:rPr>
                <w:rtl w:val="0"/>
              </w:rPr>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FD">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FE">
            <w:pPr>
              <w:numPr>
                <w:ilvl w:val="2"/>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FF">
            <w:pPr>
              <w:numPr>
                <w:ilvl w:val="2"/>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200">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01">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202">
            <w:pPr>
              <w:numPr>
                <w:ilvl w:val="2"/>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203">
            <w:pPr>
              <w:numPr>
                <w:ilvl w:val="2"/>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04">
            <w:pPr>
              <w:numPr>
                <w:ilvl w:val="2"/>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05">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Services Network or PSN</w:t>
            </w:r>
            <w:r w:rsidDel="00000000" w:rsidR="00000000" w:rsidRPr="00000000">
              <w:rPr>
                <w:rtl w:val="0"/>
              </w:rPr>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network of networks delivered through multiple service providers, as further detailed in the PSN operating model; and described at https://www.gov.uk/government/groups/public-services-network;</w:t>
            </w:r>
            <w:r w:rsidDel="00000000" w:rsidR="00000000" w:rsidRPr="00000000">
              <w:rPr>
                <w:rtl w:val="0"/>
              </w:rPr>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Rating Agency</w:t>
            </w:r>
            <w:r w:rsidDel="00000000" w:rsidR="00000000" w:rsidRPr="00000000">
              <w:rPr>
                <w:rtl w:val="0"/>
              </w:rPr>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 defined in the Framework Award Form or the Order Form, as the context requires;</w:t>
            </w:r>
            <w:r w:rsidDel="00000000" w:rsidR="00000000" w:rsidRPr="00000000">
              <w:rPr>
                <w:rtl w:val="0"/>
              </w:rPr>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12">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13">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14">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 as amended from ti</w:t>
            </w:r>
            <w:r w:rsidDel="00000000" w:rsidR="00000000" w:rsidRPr="00000000">
              <w:rPr>
                <w:rFonts w:ascii="Arial" w:cs="Arial" w:eastAsia="Arial" w:hAnsi="Arial"/>
                <w:sz w:val="24"/>
                <w:szCs w:val="24"/>
                <w:rtl w:val="0"/>
              </w:rPr>
              <w:t xml:space="preserve">me to time;</w:t>
            </w:r>
            <w:r w:rsidDel="00000000" w:rsidR="00000000" w:rsidRPr="00000000">
              <w:rPr>
                <w:rtl w:val="0"/>
              </w:rPr>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1B">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1C">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20">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21">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2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2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RTI</w:t>
            </w:r>
            <w:r w:rsidDel="00000000" w:rsidR="00000000" w:rsidRPr="00000000">
              <w:rPr>
                <w:rtl w:val="0"/>
              </w:rPr>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Service Offer</w:t>
            </w:r>
            <w:r w:rsidDel="00000000" w:rsidR="00000000" w:rsidRPr="00000000">
              <w:rPr>
                <w:rtl w:val="0"/>
              </w:rPr>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a Deliverable made available to Buyers by the Supplier via the Catalogue;</w:t>
            </w:r>
            <w:r w:rsidDel="00000000" w:rsidR="00000000" w:rsidRPr="00000000">
              <w:rPr>
                <w:rtl w:val="0"/>
              </w:rPr>
            </w:r>
          </w:p>
        </w:tc>
      </w:tr>
      <w:tr>
        <w:trPr>
          <w:cantSplit w:val="0"/>
          <w:tblHeader w:val="0"/>
        </w:trP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Effective Date</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date when the Service Offer will be available to Buyers on the Catalogue;</w:t>
            </w:r>
          </w:p>
        </w:tc>
      </w:tr>
      <w:tr>
        <w:trPr>
          <w:cantSplit w:val="0"/>
          <w:tblHeader w:val="0"/>
        </w:trPr>
        <w:tc>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Expiry Date</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date the Service Offer will be/was removed from the Catalogue;</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Price Card</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 list of prices, rates and other amounts for a specific Service Offer;</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Offer Template</w:t>
            </w:r>
            <w:r w:rsidDel="00000000" w:rsidR="00000000" w:rsidRPr="00000000">
              <w:rPr>
                <w:rtl w:val="0"/>
              </w:rPr>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template set out at Annex 1 to Part B of Framework Schedule 3 (Framework Prices);</w:t>
            </w:r>
            <w:r w:rsidDel="00000000" w:rsidR="00000000" w:rsidRPr="00000000">
              <w:rPr>
                <w:rtl w:val="0"/>
              </w:rPr>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4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4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55">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56">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Smart Cities </w:t>
            </w:r>
          </w:p>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(Smart share and connected spaces)</w:t>
            </w:r>
            <w:r w:rsidDel="00000000" w:rsidR="00000000" w:rsidRPr="00000000">
              <w:rPr>
                <w:rtl w:val="0"/>
              </w:rPr>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of  information, and communication technologies to increase operational efficiency, share information with the public and improve both the quality of government services and citizen welfare.</w:t>
            </w:r>
          </w:p>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Solutions in this area generally combine a number of technologies, including sensors for the collection of data, connectivity to cloud hosted data management platforms, and data visualisation applications. </w:t>
            </w:r>
          </w:p>
        </w:tc>
      </w:tr>
      <w:tr>
        <w:trPr>
          <w:cantSplit w:val="0"/>
          <w:trHeight w:val="945" w:hRule="atLeast"/>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65">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66">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67">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68">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6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6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71">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72">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73">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rHeight w:val="480" w:hRule="atLeast"/>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Supplier Action Plan</w:t>
            </w:r>
            <w:r w:rsidDel="00000000" w:rsidR="00000000" w:rsidRPr="00000000">
              <w:rPr>
                <w:rtl w:val="0"/>
              </w:rPr>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a document, maintained by the Authority, capturing information about the relationship between the Parties including, but not limited to strategic objectives, actions, initiatives, communication channels, risks and supplier performance;</w:t>
            </w:r>
            <w:r w:rsidDel="00000000" w:rsidR="00000000" w:rsidRPr="00000000">
              <w:rPr>
                <w:rtl w:val="0"/>
              </w:rPr>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81">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82">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83">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8C">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8D">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8E">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98">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99">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9A">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9B">
            <w:pPr>
              <w:numPr>
                <w:ilvl w:val="0"/>
                <w:numId w:val="1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TEM Provider</w:t>
            </w:r>
            <w:r w:rsidDel="00000000" w:rsidR="00000000" w:rsidRPr="00000000">
              <w:rPr>
                <w:rtl w:val="0"/>
              </w:rPr>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white"/>
                <w:rtl w:val="0"/>
              </w:rPr>
              <w:t xml:space="preserve">a Supplier appointed by CCS to provide telecoms expense management;</w:t>
            </w:r>
            <w:r w:rsidDel="00000000" w:rsidR="00000000" w:rsidRPr="00000000">
              <w:rPr>
                <w:rtl w:val="0"/>
              </w:rPr>
            </w:r>
          </w:p>
        </w:tc>
      </w:tr>
      <w:tr>
        <w:trPr>
          <w:cantSplit w:val="0"/>
          <w:tblHeader w:val="0"/>
        </w:trPr>
        <w:tc>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A5">
            <w:pPr>
              <w:numPr>
                <w:ilvl w:val="1"/>
                <w:numId w:val="3"/>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A6">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Time and Materials</w:t>
            </w:r>
            <w:r w:rsidDel="00000000" w:rsidR="00000000" w:rsidRPr="00000000">
              <w:rPr>
                <w:rtl w:val="0"/>
              </w:rPr>
            </w:r>
          </w:p>
        </w:tc>
        <w:tc>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a pricing mechanism whereby the Buyer agrees to pay the Supplier based upon the work performed by the Supplier's employees and Sub-Contractors, and for materials used in the project, no matter how much work is required to complete the project;</w:t>
            </w:r>
            <w:r w:rsidDel="00000000" w:rsidR="00000000" w:rsidRPr="00000000">
              <w:rPr>
                <w:rtl w:val="0"/>
              </w:rPr>
            </w:r>
          </w:p>
        </w:tc>
      </w:tr>
      <w:tr>
        <w:trPr>
          <w:cantSplit w:val="0"/>
          <w:tblHeader w:val="0"/>
        </w:trPr>
        <w:tc>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A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B0">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B1">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B2">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B3">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TUPE</w:t>
            </w:r>
            <w:r w:rsidDel="00000000" w:rsidR="00000000" w:rsidRPr="00000000">
              <w:rPr>
                <w:rtl w:val="0"/>
              </w:rPr>
            </w:r>
          </w:p>
        </w:tc>
        <w:tc>
          <w:tcPr/>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r w:rsidDel="00000000" w:rsidR="00000000" w:rsidRPr="00000000">
              <w:rPr>
                <w:rtl w:val="0"/>
              </w:rPr>
            </w:r>
          </w:p>
        </w:tc>
      </w:tr>
      <w:tr>
        <w:trPr>
          <w:cantSplit w:val="0"/>
          <w:tblHeader w:val="0"/>
        </w:trPr>
        <w:tc>
          <w:tcPr/>
          <w:p w:rsidR="00000000" w:rsidDel="00000000" w:rsidP="00000000" w:rsidRDefault="00000000" w:rsidRPr="00000000" w14:paraId="000002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United Kingdom</w:t>
            </w:r>
            <w:r w:rsidDel="00000000" w:rsidR="00000000" w:rsidRPr="00000000">
              <w:rPr>
                <w:rtl w:val="0"/>
              </w:rPr>
            </w:r>
          </w:p>
        </w:tc>
        <w:tc>
          <w:tcPr/>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r w:rsidDel="00000000" w:rsidR="00000000" w:rsidRPr="00000000">
              <w:rPr>
                <w:rtl w:val="0"/>
              </w:rPr>
            </w:r>
          </w:p>
        </w:tc>
      </w:tr>
      <w:tr>
        <w:trPr>
          <w:cantSplit w:val="0"/>
          <w:tblHeader w:val="0"/>
        </w:trPr>
        <w:tc>
          <w:tcPr/>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CC">
      <w:pPr>
        <w:spacing w:after="0" w:line="240" w:lineRule="auto"/>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13" w:type="default"/>
      <w:headerReference r:id="rId14" w:type="first"/>
      <w:footerReference r:id="rId15" w:type="default"/>
      <w:footerReference r:id="rId16"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2">
    <w:pPr>
      <w:tabs>
        <w:tab w:val="center" w:leader="none" w:pos="4513"/>
        <w:tab w:val="right" w:leader="none" w:pos="9026"/>
      </w:tabs>
      <w:spacing w:after="0" w:lineRule="auto"/>
      <w:rPr>
        <w:rFonts w:ascii="Arial" w:cs="Arial" w:eastAsia="Arial" w:hAnsi="Arial"/>
      </w:rPr>
    </w:pPr>
    <w:r w:rsidDel="00000000" w:rsidR="00000000" w:rsidRPr="00000000">
      <w:rPr>
        <w:rFonts w:ascii="Arial" w:cs="Arial" w:eastAsia="Arial" w:hAnsi="Arial"/>
        <w:sz w:val="20"/>
        <w:szCs w:val="20"/>
        <w:rtl w:val="0"/>
      </w:rPr>
      <w:t xml:space="preserve">Framework Reference: RM6116-</w:t>
    </w:r>
    <w:r w:rsidDel="00000000" w:rsidR="00000000" w:rsidRPr="00000000">
      <w:rPr>
        <w:rFonts w:ascii="Arial" w:cs="Arial" w:eastAsia="Arial" w:hAnsi="Arial"/>
        <w:rtl w:val="0"/>
      </w:rPr>
      <w:t xml:space="preserve">Lot 4b</w:t>
    </w:r>
    <w:r w:rsidDel="00000000" w:rsidR="00000000" w:rsidRPr="00000000">
      <w:rPr>
        <w:rtl w:val="0"/>
      </w:rPr>
      <w:t xml:space="preserve"> </w:t>
    </w:r>
    <w:r w:rsidDel="00000000" w:rsidR="00000000" w:rsidRPr="00000000">
      <w:rPr>
        <w:rFonts w:ascii="Arial" w:cs="Arial" w:eastAsia="Arial" w:hAnsi="Arial"/>
        <w:rtl w:val="0"/>
      </w:rPr>
      <w:t xml:space="preserve">Digital Communication Services (Unified Communications)</w:t>
    </w:r>
  </w:p>
  <w:p w:rsidR="00000000" w:rsidDel="00000000" w:rsidP="00000000" w:rsidRDefault="00000000" w:rsidRPr="00000000" w14:paraId="000002D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Contract Reference: CCTE21A10</w:t>
      <w:tab/>
      <w:t xml:space="preserve">                                           </w:t>
    </w:r>
  </w:p>
  <w:p w:rsidR="00000000" w:rsidDel="00000000" w:rsidP="00000000" w:rsidRDefault="00000000" w:rsidRPr="00000000" w14:paraId="000002D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Project Version: v1.0</w:t>
      <w:tab/>
    </w:r>
    <w:r w:rsidDel="00000000" w:rsidR="00000000" w:rsidRPr="00000000">
      <w:rPr>
        <w:rFonts w:ascii="Arial" w:cs="Arial" w:eastAsia="Arial" w:hAnsi="Arial"/>
        <w:color w:val="000000"/>
        <w:sz w:val="20"/>
        <w:szCs w:val="20"/>
        <w:rtl w:val="0"/>
      </w:rPr>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6">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D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1 (Definitions) </w:t>
    </w:r>
  </w:p>
  <w:p w:rsidR="00000000" w:rsidDel="00000000" w:rsidP="00000000" w:rsidRDefault="00000000" w:rsidRPr="00000000" w14:paraId="000002C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Internet Protocol (IP)Telephony based services across the GPA estate</w:t>
    </w:r>
  </w:p>
  <w:p w:rsidR="00000000" w:rsidDel="00000000" w:rsidP="00000000" w:rsidRDefault="00000000" w:rsidRPr="00000000" w14:paraId="000002CF">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0">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1">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5"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6"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7"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mod.uk/" TargetMode="External"/><Relationship Id="rId10" Type="http://schemas.openxmlformats.org/officeDocument/2006/relationships/hyperlink" Target="http://police.uk/" TargetMode="External"/><Relationship Id="rId13" Type="http://schemas.openxmlformats.org/officeDocument/2006/relationships/header" Target="header1.xml"/><Relationship Id="rId12" Type="http://schemas.openxmlformats.org/officeDocument/2006/relationships/hyperlink" Target="https://www.gov.uk/government/publications/blowing-the-whistle-list-of-prescribed-people-and-bodies--2/whistleblowing-list-of-prescribed-people-and-bodi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nhs.uk/" TargetMode="External"/><Relationship Id="rId15" Type="http://schemas.openxmlformats.org/officeDocument/2006/relationships/footer" Target="footer1.xml"/><Relationship Id="rId14" Type="http://schemas.openxmlformats.org/officeDocument/2006/relationships/header" Target="header2.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gnTX1YQW+5WkD3kt5MQRl4U+gA==">CgMxLjAyDmgueWd0eXJuZDA3eDdvMgloLjMwajB6bGwyCWguMWZvYjl0ZTIJaC4zem55c2g3Mg5oLm9xMTR2ZnBrbWFoeDIIaC5namRneHM4AHIhMTRxc1U1VWZZNXJaOEYzWkp6UC1wMGNaRGRtRzBINF9B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2022-10-25T15:58:00Z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